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5B" w14:textId="7D2F33B0" w:rsidR="000F08EC" w:rsidRPr="00AC24BE" w:rsidRDefault="000F08EC" w:rsidP="000F08EC">
      <w:pPr>
        <w:pStyle w:val="Citationintense"/>
        <w:rPr>
          <w:rStyle w:val="Rfrenceintense"/>
          <w:color w:val="auto"/>
          <w:lang w:val="fr-FR"/>
        </w:rPr>
      </w:pPr>
      <w:r w:rsidRPr="00AC24BE">
        <w:rPr>
          <w:rStyle w:val="Rfrenceintense"/>
          <w:color w:val="auto"/>
          <w:lang w:val="fr-FR"/>
        </w:rPr>
        <w:t xml:space="preserve">Liste des références </w:t>
      </w:r>
      <w:r w:rsidR="008A3D93">
        <w:rPr>
          <w:rStyle w:val="Rfrenceintense"/>
          <w:color w:val="auto"/>
          <w:lang w:val="fr-FR"/>
        </w:rPr>
        <w:t xml:space="preserve">du projet </w:t>
      </w:r>
      <w:r w:rsidR="00AC24BE">
        <w:rPr>
          <w:rStyle w:val="Rfrenceintense"/>
          <w:color w:val="auto"/>
          <w:lang w:val="fr-FR"/>
        </w:rPr>
        <w:t>TRANS-BEAR</w:t>
      </w:r>
      <w:r w:rsidRPr="00AC24BE">
        <w:rPr>
          <w:rStyle w:val="Rfrenceintense"/>
          <w:color w:val="auto"/>
          <w:lang w:val="fr-FR"/>
        </w:rPr>
        <w:t xml:space="preserve"> </w:t>
      </w:r>
    </w:p>
    <w:p w14:paraId="0A8C9C87" w14:textId="2225376A" w:rsidR="000F08EC" w:rsidRPr="008A3D93" w:rsidRDefault="008A3D93" w:rsidP="000F08EC">
      <w:pPr>
        <w:pStyle w:val="Citationintense"/>
        <w:rPr>
          <w:rStyle w:val="Rfrenceintense"/>
          <w:color w:val="auto"/>
          <w:lang w:val="fr-FR"/>
        </w:rPr>
      </w:pPr>
      <w:r>
        <w:rPr>
          <w:rStyle w:val="Rfrenceintense"/>
          <w:color w:val="auto"/>
          <w:lang w:val="fr-FR"/>
        </w:rPr>
        <w:t>Propos</w:t>
      </w:r>
      <w:r>
        <w:rPr>
          <w:rStyle w:val="Rfrenceintense"/>
          <w:rFonts w:cstheme="minorHAnsi"/>
          <w:color w:val="auto"/>
          <w:lang w:val="fr-FR"/>
        </w:rPr>
        <w:t>ition</w:t>
      </w:r>
      <w:r>
        <w:rPr>
          <w:rStyle w:val="Rfrenceintense"/>
          <w:color w:val="auto"/>
          <w:lang w:val="fr-FR"/>
        </w:rPr>
        <w:t xml:space="preserve"> </w:t>
      </w:r>
      <w:r w:rsidR="000F08EC" w:rsidRPr="008A3D93">
        <w:rPr>
          <w:rStyle w:val="Rfrenceintense"/>
          <w:color w:val="auto"/>
          <w:lang w:val="fr-FR"/>
        </w:rPr>
        <w:t xml:space="preserve">dans le pilier Exploration du programme </w:t>
      </w:r>
      <w:proofErr w:type="spellStart"/>
      <w:r w:rsidR="000F08EC" w:rsidRPr="008A3D93">
        <w:rPr>
          <w:rStyle w:val="Rfrenceintense"/>
          <w:color w:val="auto"/>
          <w:lang w:val="fr-FR"/>
        </w:rPr>
        <w:t>Explorae</w:t>
      </w:r>
      <w:proofErr w:type="spellEnd"/>
    </w:p>
    <w:p w14:paraId="13B60AF0" w14:textId="77777777" w:rsidR="000F08EC" w:rsidRPr="000F08EC" w:rsidRDefault="000F08EC" w:rsidP="000F08EC">
      <w:pPr>
        <w:spacing w:after="60"/>
        <w:ind w:left="426" w:hanging="426"/>
        <w:jc w:val="center"/>
        <w:rPr>
          <w:b/>
          <w:bCs/>
          <w:lang w:val="fr-FR"/>
        </w:rPr>
      </w:pPr>
    </w:p>
    <w:p w14:paraId="505CD125" w14:textId="6AADFB94" w:rsidR="000F08EC" w:rsidRPr="000F08EC" w:rsidRDefault="000F08EC" w:rsidP="000F08EC">
      <w:pPr>
        <w:spacing w:after="60"/>
        <w:jc w:val="both"/>
        <w:rPr>
          <w:color w:val="4472C4" w:themeColor="accent1"/>
          <w:sz w:val="18"/>
          <w:szCs w:val="18"/>
          <w:lang w:val="fr-FR"/>
        </w:rPr>
      </w:pPr>
      <w:r w:rsidRPr="000F08EC">
        <w:rPr>
          <w:color w:val="4472C4" w:themeColor="accent1"/>
          <w:sz w:val="18"/>
          <w:szCs w:val="18"/>
          <w:lang w:val="fr-FR"/>
        </w:rPr>
        <w:t xml:space="preserve">En bleu, les références </w:t>
      </w:r>
      <w:r w:rsidR="00AC24BE">
        <w:rPr>
          <w:color w:val="4472C4" w:themeColor="accent1"/>
          <w:sz w:val="18"/>
          <w:szCs w:val="18"/>
          <w:lang w:val="fr-FR"/>
        </w:rPr>
        <w:t>de</w:t>
      </w:r>
      <w:r w:rsidR="00AC24BE" w:rsidRPr="000F08EC">
        <w:rPr>
          <w:color w:val="4472C4" w:themeColor="accent1"/>
          <w:sz w:val="18"/>
          <w:szCs w:val="18"/>
          <w:lang w:val="fr-FR"/>
        </w:rPr>
        <w:t xml:space="preserve"> l’équipe</w:t>
      </w:r>
      <w:r w:rsidR="00026366">
        <w:rPr>
          <w:color w:val="4472C4" w:themeColor="accent1"/>
          <w:sz w:val="18"/>
          <w:szCs w:val="18"/>
          <w:lang w:val="fr-FR"/>
        </w:rPr>
        <w:t xml:space="preserve"> des porteurs du projet TRANS-BEAR</w:t>
      </w:r>
    </w:p>
    <w:p w14:paraId="53B8E09A" w14:textId="77777777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  <w:lang w:val="fr-FR"/>
        </w:rPr>
      </w:pPr>
    </w:p>
    <w:p w14:paraId="6ECA282F" w14:textId="4F5D920D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0F08EC">
        <w:rPr>
          <w:sz w:val="18"/>
          <w:szCs w:val="18"/>
        </w:rPr>
        <w:t>1.</w:t>
      </w:r>
      <w:r w:rsidRPr="000F08EC">
        <w:rPr>
          <w:sz w:val="18"/>
          <w:szCs w:val="18"/>
        </w:rPr>
        <w:tab/>
        <w:t>Tinker, D. B., Harlow, H. J. &amp; Beck, T. D. I. Protein use and muscle-</w:t>
      </w:r>
      <w:proofErr w:type="spellStart"/>
      <w:r w:rsidRPr="000F08EC">
        <w:rPr>
          <w:sz w:val="18"/>
          <w:szCs w:val="18"/>
        </w:rPr>
        <w:t>fiber</w:t>
      </w:r>
      <w:proofErr w:type="spellEnd"/>
      <w:r w:rsidRPr="000F08EC">
        <w:rPr>
          <w:sz w:val="18"/>
          <w:szCs w:val="18"/>
        </w:rPr>
        <w:t xml:space="preserve"> changes in free-ranging, hibernating black bears. Physiol. Zool. 71, 414–424 (1998).</w:t>
      </w:r>
    </w:p>
    <w:p w14:paraId="5C748929" w14:textId="77777777" w:rsidR="000F08EC" w:rsidRPr="00AA22E2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0F08EC">
        <w:rPr>
          <w:sz w:val="18"/>
          <w:szCs w:val="18"/>
        </w:rPr>
        <w:t>2.</w:t>
      </w:r>
      <w:r w:rsidRPr="000F08EC">
        <w:rPr>
          <w:sz w:val="18"/>
          <w:szCs w:val="18"/>
        </w:rPr>
        <w:tab/>
        <w:t xml:space="preserve">Trappe, T. Influence of aging and long-term unloading on the structure and function of human skeletal muscle. </w:t>
      </w:r>
      <w:r w:rsidRPr="00AA22E2">
        <w:rPr>
          <w:sz w:val="18"/>
          <w:szCs w:val="18"/>
        </w:rPr>
        <w:t>Appl. Physiol. Nutr. Metab.-Physiol. Appl. Nutr. Metab. 34, 459–464 (2009).</w:t>
      </w:r>
    </w:p>
    <w:p w14:paraId="7DBECDEC" w14:textId="77777777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8A3D93">
        <w:rPr>
          <w:sz w:val="18"/>
          <w:szCs w:val="18"/>
        </w:rPr>
        <w:t>3.</w:t>
      </w:r>
      <w:r w:rsidRPr="008A3D93">
        <w:rPr>
          <w:sz w:val="18"/>
          <w:szCs w:val="18"/>
        </w:rPr>
        <w:tab/>
        <w:t xml:space="preserve">Trappe, S. et al. </w:t>
      </w:r>
      <w:r w:rsidRPr="000F08EC">
        <w:rPr>
          <w:sz w:val="18"/>
          <w:szCs w:val="18"/>
        </w:rPr>
        <w:t xml:space="preserve">Human single muscle fibre function with </w:t>
      </w:r>
      <w:proofErr w:type="gramStart"/>
      <w:r w:rsidRPr="000F08EC">
        <w:rPr>
          <w:sz w:val="18"/>
          <w:szCs w:val="18"/>
        </w:rPr>
        <w:t>84 day</w:t>
      </w:r>
      <w:proofErr w:type="gramEnd"/>
      <w:r w:rsidRPr="000F08EC">
        <w:rPr>
          <w:sz w:val="18"/>
          <w:szCs w:val="18"/>
        </w:rPr>
        <w:t xml:space="preserve"> bed-rest and resistance exercise. J. Physiol. 557, 501–513 (2004).</w:t>
      </w:r>
    </w:p>
    <w:p w14:paraId="1BEEC362" w14:textId="77777777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AA22E2">
        <w:rPr>
          <w:sz w:val="18"/>
          <w:szCs w:val="18"/>
        </w:rPr>
        <w:t>4.</w:t>
      </w:r>
      <w:r w:rsidRPr="00AA22E2">
        <w:rPr>
          <w:sz w:val="18"/>
          <w:szCs w:val="18"/>
        </w:rPr>
        <w:tab/>
        <w:t xml:space="preserve">Morley, J. E. et al. </w:t>
      </w:r>
      <w:r w:rsidRPr="000F08EC">
        <w:rPr>
          <w:sz w:val="18"/>
          <w:szCs w:val="18"/>
        </w:rPr>
        <w:t>Sarcopenia With Limited Mobility: An International Consensus. J. Am. Med. Dir. Assoc. 12, 403–409 (2011).</w:t>
      </w:r>
    </w:p>
    <w:p w14:paraId="31CA48C4" w14:textId="77777777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0F08EC">
        <w:rPr>
          <w:sz w:val="18"/>
          <w:szCs w:val="18"/>
        </w:rPr>
        <w:t>5.</w:t>
      </w:r>
      <w:r w:rsidRPr="000F08EC">
        <w:rPr>
          <w:sz w:val="18"/>
          <w:szCs w:val="18"/>
        </w:rPr>
        <w:tab/>
        <w:t xml:space="preserve">Schmidt, E. K., </w:t>
      </w:r>
      <w:proofErr w:type="spellStart"/>
      <w:r w:rsidRPr="000F08EC">
        <w:rPr>
          <w:sz w:val="18"/>
          <w:szCs w:val="18"/>
        </w:rPr>
        <w:t>Clavarino</w:t>
      </w:r>
      <w:proofErr w:type="spellEnd"/>
      <w:r w:rsidRPr="000F08EC">
        <w:rPr>
          <w:sz w:val="18"/>
          <w:szCs w:val="18"/>
        </w:rPr>
        <w:t xml:space="preserve">, G., </w:t>
      </w:r>
      <w:proofErr w:type="spellStart"/>
      <w:r w:rsidRPr="000F08EC">
        <w:rPr>
          <w:sz w:val="18"/>
          <w:szCs w:val="18"/>
        </w:rPr>
        <w:t>Ceppi</w:t>
      </w:r>
      <w:proofErr w:type="spellEnd"/>
      <w:r w:rsidRPr="000F08EC">
        <w:rPr>
          <w:sz w:val="18"/>
          <w:szCs w:val="18"/>
        </w:rPr>
        <w:t xml:space="preserve">, M. &amp; Pierre, P. </w:t>
      </w:r>
      <w:proofErr w:type="spellStart"/>
      <w:r w:rsidRPr="000F08EC">
        <w:rPr>
          <w:sz w:val="18"/>
          <w:szCs w:val="18"/>
        </w:rPr>
        <w:t>SUnSET</w:t>
      </w:r>
      <w:proofErr w:type="spellEnd"/>
      <w:r w:rsidRPr="000F08EC">
        <w:rPr>
          <w:sz w:val="18"/>
          <w:szCs w:val="18"/>
        </w:rPr>
        <w:t xml:space="preserve">, a nonradioactive method to monitor protein synthesis. Nat Methods 6, 275–7. </w:t>
      </w:r>
      <w:proofErr w:type="spellStart"/>
      <w:r w:rsidRPr="000F08EC">
        <w:rPr>
          <w:sz w:val="18"/>
          <w:szCs w:val="18"/>
        </w:rPr>
        <w:t>doi</w:t>
      </w:r>
      <w:proofErr w:type="spellEnd"/>
      <w:r w:rsidRPr="000F08EC">
        <w:rPr>
          <w:sz w:val="18"/>
          <w:szCs w:val="18"/>
        </w:rPr>
        <w:t xml:space="preserve">: 10.1038/nmeth.1314. </w:t>
      </w:r>
      <w:proofErr w:type="spellStart"/>
      <w:r w:rsidRPr="000F08EC">
        <w:rPr>
          <w:sz w:val="18"/>
          <w:szCs w:val="18"/>
        </w:rPr>
        <w:t>Epub</w:t>
      </w:r>
      <w:proofErr w:type="spellEnd"/>
      <w:r w:rsidRPr="000F08EC">
        <w:rPr>
          <w:sz w:val="18"/>
          <w:szCs w:val="18"/>
        </w:rPr>
        <w:t xml:space="preserve"> 2009 Mar 22. (2009).</w:t>
      </w:r>
    </w:p>
    <w:p w14:paraId="38564997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6.</w:t>
      </w:r>
      <w:r w:rsidRPr="000F08EC">
        <w:rPr>
          <w:color w:val="4472C4" w:themeColor="accent1"/>
          <w:sz w:val="18"/>
          <w:szCs w:val="18"/>
        </w:rPr>
        <w:tab/>
        <w:t>Peris-Moreno, D., Taillandier, D. &amp; Polge, C. MuRF1/TRIM63, Master regulator of muscle mass. Int. J. Mol. Sci. 21, 6663 (2020).</w:t>
      </w:r>
    </w:p>
    <w:p w14:paraId="6151FD25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7.</w:t>
      </w:r>
      <w:r w:rsidRPr="000F08EC">
        <w:rPr>
          <w:color w:val="4472C4" w:themeColor="accent1"/>
          <w:sz w:val="18"/>
          <w:szCs w:val="18"/>
        </w:rPr>
        <w:tab/>
        <w:t>Peris-Moreno, D., Cussonneau, L. &amp; Combaret, L. Ubiquitin Ligases at the Heart of Skeletal Muscle Atrophy Control. 26, (2021).</w:t>
      </w:r>
    </w:p>
    <w:p w14:paraId="216965BC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8.</w:t>
      </w:r>
      <w:r w:rsidRPr="000F08EC">
        <w:rPr>
          <w:color w:val="4472C4" w:themeColor="accent1"/>
          <w:sz w:val="18"/>
          <w:szCs w:val="18"/>
        </w:rPr>
        <w:tab/>
        <w:t xml:space="preserve">Taillandier, D. &amp; Polge, C. Skeletal muscle </w:t>
      </w:r>
      <w:proofErr w:type="spellStart"/>
      <w:r w:rsidRPr="000F08EC">
        <w:rPr>
          <w:color w:val="4472C4" w:themeColor="accent1"/>
          <w:sz w:val="18"/>
          <w:szCs w:val="18"/>
        </w:rPr>
        <w:t>atrogenes</w:t>
      </w:r>
      <w:proofErr w:type="spellEnd"/>
      <w:r w:rsidRPr="000F08EC">
        <w:rPr>
          <w:color w:val="4472C4" w:themeColor="accent1"/>
          <w:sz w:val="18"/>
          <w:szCs w:val="18"/>
        </w:rPr>
        <w:t xml:space="preserve">: From rodent models to human pathologies. </w:t>
      </w:r>
      <w:proofErr w:type="spellStart"/>
      <w:r w:rsidRPr="000F08EC">
        <w:rPr>
          <w:color w:val="4472C4" w:themeColor="accent1"/>
          <w:sz w:val="18"/>
          <w:szCs w:val="18"/>
        </w:rPr>
        <w:t>Biochimie</w:t>
      </w:r>
      <w:proofErr w:type="spellEnd"/>
      <w:r w:rsidRPr="000F08EC">
        <w:rPr>
          <w:color w:val="4472C4" w:themeColor="accent1"/>
          <w:sz w:val="18"/>
          <w:szCs w:val="18"/>
        </w:rPr>
        <w:t xml:space="preserve"> 166, 251–269 (2019).</w:t>
      </w:r>
    </w:p>
    <w:p w14:paraId="6370A959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  <w:lang w:val="fr-FR"/>
        </w:rPr>
      </w:pPr>
      <w:r w:rsidRPr="000F08EC">
        <w:rPr>
          <w:color w:val="4472C4" w:themeColor="accent1"/>
          <w:sz w:val="18"/>
          <w:szCs w:val="18"/>
        </w:rPr>
        <w:t>9.</w:t>
      </w:r>
      <w:r w:rsidRPr="000F08EC">
        <w:rPr>
          <w:color w:val="4472C4" w:themeColor="accent1"/>
          <w:sz w:val="18"/>
          <w:szCs w:val="18"/>
        </w:rPr>
        <w:tab/>
        <w:t xml:space="preserve">Polge, C. et al. Recent progress in elucidating signalling proteolytic pathways in muscle wasting: Potential clinical implications. </w:t>
      </w:r>
      <w:proofErr w:type="spellStart"/>
      <w:r w:rsidRPr="000F08EC">
        <w:rPr>
          <w:color w:val="4472C4" w:themeColor="accent1"/>
          <w:sz w:val="18"/>
          <w:szCs w:val="18"/>
          <w:lang w:val="fr-FR"/>
        </w:rPr>
        <w:t>Nutr</w:t>
      </w:r>
      <w:proofErr w:type="spellEnd"/>
      <w:r w:rsidRPr="000F08EC">
        <w:rPr>
          <w:color w:val="4472C4" w:themeColor="accent1"/>
          <w:sz w:val="18"/>
          <w:szCs w:val="18"/>
          <w:lang w:val="fr-FR"/>
        </w:rPr>
        <w:t xml:space="preserve"> </w:t>
      </w:r>
      <w:proofErr w:type="spellStart"/>
      <w:r w:rsidRPr="000F08EC">
        <w:rPr>
          <w:color w:val="4472C4" w:themeColor="accent1"/>
          <w:sz w:val="18"/>
          <w:szCs w:val="18"/>
          <w:lang w:val="fr-FR"/>
        </w:rPr>
        <w:t>Metab</w:t>
      </w:r>
      <w:proofErr w:type="spellEnd"/>
      <w:r w:rsidRPr="000F08EC">
        <w:rPr>
          <w:color w:val="4472C4" w:themeColor="accent1"/>
          <w:sz w:val="18"/>
          <w:szCs w:val="18"/>
          <w:lang w:val="fr-FR"/>
        </w:rPr>
        <w:t xml:space="preserve"> </w:t>
      </w:r>
      <w:proofErr w:type="spellStart"/>
      <w:r w:rsidRPr="000F08EC">
        <w:rPr>
          <w:color w:val="4472C4" w:themeColor="accent1"/>
          <w:sz w:val="18"/>
          <w:szCs w:val="18"/>
          <w:lang w:val="fr-FR"/>
        </w:rPr>
        <w:t>Cardiovasc</w:t>
      </w:r>
      <w:proofErr w:type="spellEnd"/>
      <w:r w:rsidRPr="000F08EC">
        <w:rPr>
          <w:color w:val="4472C4" w:themeColor="accent1"/>
          <w:sz w:val="18"/>
          <w:szCs w:val="18"/>
          <w:lang w:val="fr-FR"/>
        </w:rPr>
        <w:t xml:space="preserve"> Dis 23 </w:t>
      </w:r>
      <w:proofErr w:type="spellStart"/>
      <w:r w:rsidRPr="000F08EC">
        <w:rPr>
          <w:color w:val="4472C4" w:themeColor="accent1"/>
          <w:sz w:val="18"/>
          <w:szCs w:val="18"/>
          <w:lang w:val="fr-FR"/>
        </w:rPr>
        <w:t>Suppl</w:t>
      </w:r>
      <w:proofErr w:type="spellEnd"/>
      <w:r w:rsidRPr="000F08EC">
        <w:rPr>
          <w:color w:val="4472C4" w:themeColor="accent1"/>
          <w:sz w:val="18"/>
          <w:szCs w:val="18"/>
          <w:lang w:val="fr-FR"/>
        </w:rPr>
        <w:t xml:space="preserve"> 1, S1-5 (2013).</w:t>
      </w:r>
    </w:p>
    <w:p w14:paraId="741DA32E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  <w:lang w:val="fr-FR"/>
        </w:rPr>
        <w:t>10.</w:t>
      </w:r>
      <w:r w:rsidRPr="000F08EC">
        <w:rPr>
          <w:color w:val="4472C4" w:themeColor="accent1"/>
          <w:sz w:val="18"/>
          <w:szCs w:val="18"/>
          <w:lang w:val="fr-FR"/>
        </w:rPr>
        <w:tab/>
        <w:t xml:space="preserve">Combaret, L. et al. </w:t>
      </w:r>
      <w:r w:rsidRPr="000F08EC">
        <w:rPr>
          <w:color w:val="4472C4" w:themeColor="accent1"/>
          <w:sz w:val="18"/>
          <w:szCs w:val="18"/>
        </w:rPr>
        <w:t>A leucine-supplemented diet restores the defective postprandial inhibition of proteasome-dependent proteolysis in aged rat skeletal muscle. J. Physiol.-</w:t>
      </w:r>
      <w:proofErr w:type="spellStart"/>
      <w:r w:rsidRPr="000F08EC">
        <w:rPr>
          <w:color w:val="4472C4" w:themeColor="accent1"/>
          <w:sz w:val="18"/>
          <w:szCs w:val="18"/>
        </w:rPr>
        <w:t>Lond</w:t>
      </w:r>
      <w:proofErr w:type="spellEnd"/>
      <w:r w:rsidRPr="000F08EC">
        <w:rPr>
          <w:color w:val="4472C4" w:themeColor="accent1"/>
          <w:sz w:val="18"/>
          <w:szCs w:val="18"/>
        </w:rPr>
        <w:t>. 569, 489–499 (2005).</w:t>
      </w:r>
    </w:p>
    <w:p w14:paraId="300A1279" w14:textId="77777777" w:rsidR="000F08EC" w:rsidRPr="00AA22E2" w:rsidRDefault="000F08EC" w:rsidP="000F08EC">
      <w:pPr>
        <w:spacing w:after="60"/>
        <w:ind w:left="426" w:hanging="426"/>
        <w:jc w:val="both"/>
        <w:rPr>
          <w:sz w:val="18"/>
          <w:szCs w:val="18"/>
          <w:lang w:val="fr-FR"/>
        </w:rPr>
      </w:pPr>
      <w:r w:rsidRPr="000F08EC">
        <w:rPr>
          <w:sz w:val="18"/>
          <w:szCs w:val="18"/>
        </w:rPr>
        <w:t>11.</w:t>
      </w:r>
      <w:r w:rsidRPr="000F08EC">
        <w:rPr>
          <w:sz w:val="18"/>
          <w:szCs w:val="18"/>
        </w:rPr>
        <w:tab/>
      </w:r>
      <w:proofErr w:type="spellStart"/>
      <w:r w:rsidRPr="000F08EC">
        <w:rPr>
          <w:sz w:val="18"/>
          <w:szCs w:val="18"/>
        </w:rPr>
        <w:t>Chaveroux</w:t>
      </w:r>
      <w:proofErr w:type="spellEnd"/>
      <w:r w:rsidRPr="000F08EC">
        <w:rPr>
          <w:sz w:val="18"/>
          <w:szCs w:val="18"/>
        </w:rPr>
        <w:t xml:space="preserve">, C. et al. Regulating the expression of therapeutic transgenes by controlled intake of dietary essential amino acids. </w:t>
      </w:r>
      <w:r w:rsidRPr="00AA22E2">
        <w:rPr>
          <w:sz w:val="18"/>
          <w:szCs w:val="18"/>
          <w:lang w:val="fr-FR"/>
        </w:rPr>
        <w:t>Nat Biotechnol https://doi.org/10.1038/nbt.3582 (2016) doi:10.1038/nbt.3582.</w:t>
      </w:r>
    </w:p>
    <w:p w14:paraId="0D73820E" w14:textId="77777777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AA22E2">
        <w:rPr>
          <w:sz w:val="18"/>
          <w:szCs w:val="18"/>
          <w:lang w:val="fr-FR"/>
        </w:rPr>
        <w:t>12.</w:t>
      </w:r>
      <w:r w:rsidRPr="00AA22E2">
        <w:rPr>
          <w:sz w:val="18"/>
          <w:szCs w:val="18"/>
          <w:lang w:val="fr-FR"/>
        </w:rPr>
        <w:tab/>
        <w:t xml:space="preserve">B’Chir, W. et al. </w:t>
      </w:r>
      <w:r w:rsidRPr="000F08EC">
        <w:rPr>
          <w:sz w:val="18"/>
          <w:szCs w:val="18"/>
        </w:rPr>
        <w:t>The eIF2alpha/ATF4 pathway is essential for stress-induced autophagy gene expression. Nucleic Acids Res 41, 7683–99 (2013).</w:t>
      </w:r>
    </w:p>
    <w:p w14:paraId="2350FB40" w14:textId="77777777" w:rsidR="000F08EC" w:rsidRPr="000F08EC" w:rsidRDefault="000F08EC" w:rsidP="000F08EC">
      <w:pPr>
        <w:spacing w:after="60"/>
        <w:ind w:left="426" w:hanging="426"/>
        <w:jc w:val="both"/>
        <w:rPr>
          <w:sz w:val="18"/>
          <w:szCs w:val="18"/>
        </w:rPr>
      </w:pPr>
      <w:r w:rsidRPr="000F08EC">
        <w:rPr>
          <w:sz w:val="18"/>
          <w:szCs w:val="18"/>
        </w:rPr>
        <w:t>13.</w:t>
      </w:r>
      <w:r w:rsidRPr="000F08EC">
        <w:rPr>
          <w:sz w:val="18"/>
          <w:szCs w:val="18"/>
        </w:rPr>
        <w:tab/>
        <w:t>Maurin, A.-C. et al. GCN2 upregulates autophagy in response to short-term deprivation of a single essential amino acid. Autophagy Rep. 1, 119–142 (2022).</w:t>
      </w:r>
    </w:p>
    <w:p w14:paraId="74C38782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14.</w:t>
      </w:r>
      <w:r w:rsidRPr="000F08EC">
        <w:rPr>
          <w:color w:val="4472C4" w:themeColor="accent1"/>
          <w:sz w:val="18"/>
          <w:szCs w:val="18"/>
        </w:rPr>
        <w:tab/>
        <w:t>Polge, C. et al. Muscle actin is polyubiquitinylated in vitro and in vivo and targeted for breakdown by the E3 ligase MuRF1. FASEB J 25, 3790–802 (2011).</w:t>
      </w:r>
    </w:p>
    <w:p w14:paraId="0C328E73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15.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Aniort</w:t>
      </w:r>
      <w:proofErr w:type="spellEnd"/>
      <w:r w:rsidRPr="000F08EC">
        <w:rPr>
          <w:color w:val="4472C4" w:themeColor="accent1"/>
          <w:sz w:val="18"/>
          <w:szCs w:val="18"/>
        </w:rPr>
        <w:t xml:space="preserve">, J. et al. Upregulation of MuRF1 and </w:t>
      </w:r>
      <w:proofErr w:type="spellStart"/>
      <w:r w:rsidRPr="000F08EC">
        <w:rPr>
          <w:color w:val="4472C4" w:themeColor="accent1"/>
          <w:sz w:val="18"/>
          <w:szCs w:val="18"/>
        </w:rPr>
        <w:t>MAFbx</w:t>
      </w:r>
      <w:proofErr w:type="spellEnd"/>
      <w:r w:rsidRPr="000F08EC">
        <w:rPr>
          <w:color w:val="4472C4" w:themeColor="accent1"/>
          <w:sz w:val="18"/>
          <w:szCs w:val="18"/>
        </w:rPr>
        <w:t xml:space="preserve"> participates to muscle wasting upon gentamicin-induced acute kidney injury. Int J </w:t>
      </w:r>
      <w:proofErr w:type="spellStart"/>
      <w:r w:rsidRPr="000F08EC">
        <w:rPr>
          <w:color w:val="4472C4" w:themeColor="accent1"/>
          <w:sz w:val="18"/>
          <w:szCs w:val="18"/>
        </w:rPr>
        <w:t>Biochem</w:t>
      </w:r>
      <w:proofErr w:type="spellEnd"/>
      <w:r w:rsidRPr="000F08EC">
        <w:rPr>
          <w:color w:val="4472C4" w:themeColor="accent1"/>
          <w:sz w:val="18"/>
          <w:szCs w:val="18"/>
        </w:rPr>
        <w:t xml:space="preserve"> Cell </w:t>
      </w:r>
      <w:proofErr w:type="spellStart"/>
      <w:r w:rsidRPr="000F08EC">
        <w:rPr>
          <w:color w:val="4472C4" w:themeColor="accent1"/>
          <w:sz w:val="18"/>
          <w:szCs w:val="18"/>
        </w:rPr>
        <w:t>Biol</w:t>
      </w:r>
      <w:proofErr w:type="spellEnd"/>
      <w:r w:rsidRPr="000F08EC">
        <w:rPr>
          <w:color w:val="4472C4" w:themeColor="accent1"/>
          <w:sz w:val="18"/>
          <w:szCs w:val="18"/>
        </w:rPr>
        <w:t xml:space="preserve"> https://doi.org/10.1016/j.biocel.2016.04.006 (2016) </w:t>
      </w:r>
      <w:proofErr w:type="gramStart"/>
      <w:r w:rsidRPr="000F08EC">
        <w:rPr>
          <w:color w:val="4472C4" w:themeColor="accent1"/>
          <w:sz w:val="18"/>
          <w:szCs w:val="18"/>
        </w:rPr>
        <w:t>doi:10.1016/j.biocel</w:t>
      </w:r>
      <w:proofErr w:type="gramEnd"/>
      <w:r w:rsidRPr="000F08EC">
        <w:rPr>
          <w:color w:val="4472C4" w:themeColor="accent1"/>
          <w:sz w:val="18"/>
          <w:szCs w:val="18"/>
        </w:rPr>
        <w:t>.2016.04.006.</w:t>
      </w:r>
    </w:p>
    <w:p w14:paraId="0A8F8DF3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16.</w:t>
      </w:r>
      <w:r w:rsidRPr="000F08EC">
        <w:rPr>
          <w:color w:val="4472C4" w:themeColor="accent1"/>
          <w:sz w:val="18"/>
          <w:szCs w:val="18"/>
        </w:rPr>
        <w:tab/>
        <w:t>Claustre, A. et al. Structure predictions of MuRF1-UBE2 complexes identify amino acid residues governing interaction selectivity for each MuRF1-E2 pair. FEBS J. 292, 2559–2577 (2025).</w:t>
      </w:r>
    </w:p>
    <w:p w14:paraId="40455149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17.</w:t>
      </w:r>
      <w:r w:rsidRPr="000F08EC">
        <w:rPr>
          <w:color w:val="4472C4" w:themeColor="accent1"/>
          <w:sz w:val="18"/>
          <w:szCs w:val="18"/>
        </w:rPr>
        <w:tab/>
        <w:t xml:space="preserve">Polge, C., </w:t>
      </w:r>
      <w:proofErr w:type="spellStart"/>
      <w:r w:rsidRPr="000F08EC">
        <w:rPr>
          <w:color w:val="4472C4" w:themeColor="accent1"/>
          <w:sz w:val="18"/>
          <w:szCs w:val="18"/>
        </w:rPr>
        <w:t>Cabantous</w:t>
      </w:r>
      <w:proofErr w:type="spellEnd"/>
      <w:r w:rsidRPr="000F08EC">
        <w:rPr>
          <w:color w:val="4472C4" w:themeColor="accent1"/>
          <w:sz w:val="18"/>
          <w:szCs w:val="18"/>
        </w:rPr>
        <w:t xml:space="preserve">, S. &amp; Taillandier, D. Tripartite Split-GFP for High Throughput Screening of Small Molecules: A Powerful Strategy for Targeting Transient/Labile Interactors like E2-E3 Ubiquitination Enzymes. </w:t>
      </w:r>
      <w:proofErr w:type="spellStart"/>
      <w:r w:rsidRPr="000F08EC">
        <w:rPr>
          <w:color w:val="4472C4" w:themeColor="accent1"/>
          <w:sz w:val="18"/>
          <w:szCs w:val="18"/>
        </w:rPr>
        <w:t>ChemBioChem</w:t>
      </w:r>
      <w:proofErr w:type="spellEnd"/>
      <w:r w:rsidRPr="000F08EC">
        <w:rPr>
          <w:color w:val="4472C4" w:themeColor="accent1"/>
          <w:sz w:val="18"/>
          <w:szCs w:val="18"/>
        </w:rPr>
        <w:t xml:space="preserve"> 25, (2024).</w:t>
      </w:r>
    </w:p>
    <w:p w14:paraId="3E4C253A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18.</w:t>
      </w:r>
      <w:r w:rsidRPr="000F08EC">
        <w:rPr>
          <w:color w:val="4472C4" w:themeColor="accent1"/>
          <w:sz w:val="18"/>
          <w:szCs w:val="18"/>
        </w:rPr>
        <w:tab/>
        <w:t>Peris-Moreno, D. et al. UBE2L3, a Partner of MuRF1/TRIM63, Is Involved in the Degradation of Myofibrillar Actin and Myosin. Cells 10, 1974 (2021).</w:t>
      </w:r>
    </w:p>
    <w:p w14:paraId="0A3CF565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19.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Aniort</w:t>
      </w:r>
      <w:proofErr w:type="spellEnd"/>
      <w:r w:rsidRPr="000F08EC">
        <w:rPr>
          <w:color w:val="4472C4" w:themeColor="accent1"/>
          <w:sz w:val="18"/>
          <w:szCs w:val="18"/>
        </w:rPr>
        <w:t>, J. et al. Muscle wasting in patients with end-stage renal disease or early-stage lung cancer: common mechanisms at work. 10, 323–337 (2019).</w:t>
      </w:r>
    </w:p>
    <w:p w14:paraId="5F9ED691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lastRenderedPageBreak/>
        <w:t>20.</w:t>
      </w:r>
      <w:r w:rsidRPr="000F08EC">
        <w:rPr>
          <w:color w:val="4472C4" w:themeColor="accent1"/>
          <w:sz w:val="18"/>
          <w:szCs w:val="18"/>
        </w:rPr>
        <w:tab/>
        <w:t xml:space="preserve">Polge, C. et al. Erratum: Polge, C., et al. UBE2E1 Is Preferentially Expressed in the Cytoplasm of Slow-Twitch </w:t>
      </w:r>
      <w:proofErr w:type="spellStart"/>
      <w:r w:rsidRPr="000F08EC">
        <w:rPr>
          <w:color w:val="4472C4" w:themeColor="accent1"/>
          <w:sz w:val="18"/>
          <w:szCs w:val="18"/>
        </w:rPr>
        <w:t>Fibers</w:t>
      </w:r>
      <w:proofErr w:type="spellEnd"/>
      <w:r w:rsidRPr="000F08EC">
        <w:rPr>
          <w:color w:val="4472C4" w:themeColor="accent1"/>
          <w:sz w:val="18"/>
          <w:szCs w:val="18"/>
        </w:rPr>
        <w:t xml:space="preserve"> and Protects Skeletal Muscles from Exacerbated Atrophy upon Dexamethasone Treatment. Cells 2018, 7, 214. Cells 7, 242 (2018).</w:t>
      </w:r>
    </w:p>
    <w:p w14:paraId="6B9A5F53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21.</w:t>
      </w:r>
      <w:r w:rsidRPr="000F08EC">
        <w:rPr>
          <w:color w:val="4472C4" w:themeColor="accent1"/>
          <w:sz w:val="18"/>
          <w:szCs w:val="18"/>
        </w:rPr>
        <w:tab/>
        <w:t xml:space="preserve">Polge, C. et al. A muscle-specific MuRF1-E2 network requires stabilization of MuRF1-E2 complexes by </w:t>
      </w:r>
      <w:proofErr w:type="spellStart"/>
      <w:r w:rsidRPr="000F08EC">
        <w:rPr>
          <w:color w:val="4472C4" w:themeColor="accent1"/>
          <w:sz w:val="18"/>
          <w:szCs w:val="18"/>
        </w:rPr>
        <w:t>telethonin</w:t>
      </w:r>
      <w:proofErr w:type="spellEnd"/>
      <w:r w:rsidRPr="000F08EC">
        <w:rPr>
          <w:color w:val="4472C4" w:themeColor="accent1"/>
          <w:sz w:val="18"/>
          <w:szCs w:val="18"/>
        </w:rPr>
        <w:t>, a newly identified substrate. J. Cachexia Sarcopenia Muscle 9, 129–145 (2018).</w:t>
      </w:r>
    </w:p>
    <w:p w14:paraId="1C47ED83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22.</w:t>
      </w:r>
      <w:r w:rsidRPr="000F08EC">
        <w:rPr>
          <w:color w:val="4472C4" w:themeColor="accent1"/>
          <w:sz w:val="18"/>
          <w:szCs w:val="18"/>
        </w:rPr>
        <w:tab/>
        <w:t>Polge, C. et al. UBE2B is implicated in myofibrillar protein loss in catabolic C2C12 myotubes. J. Cachexia Sarcopenia Muscle 7, 377–387 (2016).</w:t>
      </w:r>
    </w:p>
    <w:p w14:paraId="0E6F85E5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23.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Vazeille</w:t>
      </w:r>
      <w:proofErr w:type="spellEnd"/>
      <w:r w:rsidRPr="000F08EC">
        <w:rPr>
          <w:color w:val="4472C4" w:themeColor="accent1"/>
          <w:sz w:val="18"/>
          <w:szCs w:val="18"/>
        </w:rPr>
        <w:t xml:space="preserve">, E. et al. The ubiquitin-proteasome and the mitochondria-associated apoptotic pathways are sequentially downregulated during recovery after immobilization-induced muscle atrophy. Am. J. Physiol.-Endocrinol. </w:t>
      </w:r>
      <w:proofErr w:type="spellStart"/>
      <w:r w:rsidRPr="000F08EC">
        <w:rPr>
          <w:color w:val="4472C4" w:themeColor="accent1"/>
          <w:sz w:val="18"/>
          <w:szCs w:val="18"/>
        </w:rPr>
        <w:t>Metab</w:t>
      </w:r>
      <w:proofErr w:type="spellEnd"/>
      <w:r w:rsidRPr="000F08EC">
        <w:rPr>
          <w:color w:val="4472C4" w:themeColor="accent1"/>
          <w:sz w:val="18"/>
          <w:szCs w:val="18"/>
        </w:rPr>
        <w:t>. 295, E1181–E1190 (2008).</w:t>
      </w:r>
    </w:p>
    <w:p w14:paraId="67706AB8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24.</w:t>
      </w:r>
      <w:r w:rsidRPr="000F08EC">
        <w:rPr>
          <w:color w:val="4472C4" w:themeColor="accent1"/>
          <w:sz w:val="18"/>
          <w:szCs w:val="18"/>
        </w:rPr>
        <w:tab/>
        <w:t xml:space="preserve">Capel, F. et al. Lysosomal and proteasome-dependent proteolysis are differentially regulated by insulin and/or amino acids following feeding in young, mature and old rats. J </w:t>
      </w:r>
      <w:proofErr w:type="spellStart"/>
      <w:r w:rsidRPr="000F08EC">
        <w:rPr>
          <w:color w:val="4472C4" w:themeColor="accent1"/>
          <w:sz w:val="18"/>
          <w:szCs w:val="18"/>
        </w:rPr>
        <w:t>Nutr</w:t>
      </w:r>
      <w:proofErr w:type="spellEnd"/>
      <w:r w:rsidRPr="000F08EC">
        <w:rPr>
          <w:color w:val="4472C4" w:themeColor="accent1"/>
          <w:sz w:val="18"/>
          <w:szCs w:val="18"/>
        </w:rPr>
        <w:t xml:space="preserve"> </w:t>
      </w:r>
      <w:proofErr w:type="spellStart"/>
      <w:r w:rsidRPr="000F08EC">
        <w:rPr>
          <w:color w:val="4472C4" w:themeColor="accent1"/>
          <w:sz w:val="18"/>
          <w:szCs w:val="18"/>
        </w:rPr>
        <w:t>Biochem</w:t>
      </w:r>
      <w:proofErr w:type="spellEnd"/>
      <w:r w:rsidRPr="000F08EC">
        <w:rPr>
          <w:color w:val="4472C4" w:themeColor="accent1"/>
          <w:sz w:val="18"/>
          <w:szCs w:val="18"/>
        </w:rPr>
        <w:t xml:space="preserve"> 20, 570–6 (2009).</w:t>
      </w:r>
    </w:p>
    <w:p w14:paraId="5EBB0E73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25.</w:t>
      </w:r>
      <w:r w:rsidRPr="000F08EC">
        <w:rPr>
          <w:color w:val="4472C4" w:themeColor="accent1"/>
          <w:sz w:val="18"/>
          <w:szCs w:val="18"/>
        </w:rPr>
        <w:tab/>
        <w:t xml:space="preserve">Slimani, L. et al. The worsening of tibialis anterior muscle atrophy during recovery post-immobilization correlates with enhanced connective tissue area, proteolysis, and apoptosis. Am J </w:t>
      </w:r>
      <w:proofErr w:type="spellStart"/>
      <w:r w:rsidRPr="000F08EC">
        <w:rPr>
          <w:color w:val="4472C4" w:themeColor="accent1"/>
          <w:sz w:val="18"/>
          <w:szCs w:val="18"/>
        </w:rPr>
        <w:t>Physiol</w:t>
      </w:r>
      <w:proofErr w:type="spellEnd"/>
      <w:r w:rsidRPr="000F08EC">
        <w:rPr>
          <w:color w:val="4472C4" w:themeColor="accent1"/>
          <w:sz w:val="18"/>
          <w:szCs w:val="18"/>
        </w:rPr>
        <w:t xml:space="preserve"> Endocrinol </w:t>
      </w:r>
      <w:proofErr w:type="spellStart"/>
      <w:r w:rsidRPr="000F08EC">
        <w:rPr>
          <w:color w:val="4472C4" w:themeColor="accent1"/>
          <w:sz w:val="18"/>
          <w:szCs w:val="18"/>
        </w:rPr>
        <w:t>Metab</w:t>
      </w:r>
      <w:proofErr w:type="spellEnd"/>
      <w:r w:rsidRPr="000F08EC">
        <w:rPr>
          <w:color w:val="4472C4" w:themeColor="accent1"/>
          <w:sz w:val="18"/>
          <w:szCs w:val="18"/>
        </w:rPr>
        <w:t xml:space="preserve"> 303, E1335-47 (2012).</w:t>
      </w:r>
    </w:p>
    <w:p w14:paraId="49264A69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26.</w:t>
      </w:r>
      <w:r w:rsidRPr="000F08EC">
        <w:rPr>
          <w:color w:val="4472C4" w:themeColor="accent1"/>
          <w:sz w:val="18"/>
          <w:szCs w:val="18"/>
        </w:rPr>
        <w:tab/>
        <w:t>Deval, C. et al. Docosahexaenoic acid-supplementation prior to fasting prevents muscle atrophy in mice. J Cachexia Sarcopenia Muscle 7, 587–603 (2016).</w:t>
      </w:r>
    </w:p>
    <w:p w14:paraId="5D0188EA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27.</w:t>
      </w:r>
      <w:r w:rsidRPr="000F08EC">
        <w:rPr>
          <w:color w:val="4472C4" w:themeColor="accent1"/>
          <w:sz w:val="18"/>
          <w:szCs w:val="18"/>
        </w:rPr>
        <w:tab/>
        <w:t xml:space="preserve">Salles, J. et al. </w:t>
      </w:r>
      <w:proofErr w:type="spellStart"/>
      <w:r w:rsidRPr="000F08EC">
        <w:rPr>
          <w:color w:val="4472C4" w:themeColor="accent1"/>
          <w:sz w:val="18"/>
          <w:szCs w:val="18"/>
        </w:rPr>
        <w:t>TNFalpha</w:t>
      </w:r>
      <w:proofErr w:type="spellEnd"/>
      <w:r w:rsidRPr="000F08EC">
        <w:rPr>
          <w:color w:val="4472C4" w:themeColor="accent1"/>
          <w:sz w:val="18"/>
          <w:szCs w:val="18"/>
        </w:rPr>
        <w:t xml:space="preserve"> gene knockout differentially affects lipid deposition in liver and skeletal muscle of high-fat-diet mice. J </w:t>
      </w:r>
      <w:proofErr w:type="spellStart"/>
      <w:r w:rsidRPr="000F08EC">
        <w:rPr>
          <w:color w:val="4472C4" w:themeColor="accent1"/>
          <w:sz w:val="18"/>
          <w:szCs w:val="18"/>
        </w:rPr>
        <w:t>Nutr</w:t>
      </w:r>
      <w:proofErr w:type="spellEnd"/>
      <w:r w:rsidRPr="000F08EC">
        <w:rPr>
          <w:color w:val="4472C4" w:themeColor="accent1"/>
          <w:sz w:val="18"/>
          <w:szCs w:val="18"/>
        </w:rPr>
        <w:t xml:space="preserve"> </w:t>
      </w:r>
      <w:proofErr w:type="spellStart"/>
      <w:r w:rsidRPr="000F08EC">
        <w:rPr>
          <w:color w:val="4472C4" w:themeColor="accent1"/>
          <w:sz w:val="18"/>
          <w:szCs w:val="18"/>
        </w:rPr>
        <w:t>Biochem</w:t>
      </w:r>
      <w:proofErr w:type="spellEnd"/>
      <w:r w:rsidRPr="000F08EC">
        <w:rPr>
          <w:color w:val="4472C4" w:themeColor="accent1"/>
          <w:sz w:val="18"/>
          <w:szCs w:val="18"/>
        </w:rPr>
        <w:t xml:space="preserve"> 23, 1685–93 (2012).</w:t>
      </w:r>
    </w:p>
    <w:p w14:paraId="1EEE72FE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28.</w:t>
      </w:r>
      <w:r w:rsidRPr="000F08EC">
        <w:rPr>
          <w:color w:val="4472C4" w:themeColor="accent1"/>
          <w:sz w:val="18"/>
          <w:szCs w:val="18"/>
        </w:rPr>
        <w:tab/>
        <w:t xml:space="preserve">Cussonneau, L. et al. Induction of ATF4-Regulated </w:t>
      </w:r>
      <w:proofErr w:type="spellStart"/>
      <w:r w:rsidRPr="000F08EC">
        <w:rPr>
          <w:color w:val="4472C4" w:themeColor="accent1"/>
          <w:sz w:val="18"/>
          <w:szCs w:val="18"/>
        </w:rPr>
        <w:t>Atrogenes</w:t>
      </w:r>
      <w:proofErr w:type="spellEnd"/>
      <w:r w:rsidRPr="000F08EC">
        <w:rPr>
          <w:color w:val="4472C4" w:themeColor="accent1"/>
          <w:sz w:val="18"/>
          <w:szCs w:val="18"/>
        </w:rPr>
        <w:t xml:space="preserve"> Is Uncoupled from Muscle Atrophy during Disuse in Halofuginone-Treated Mice and in Hibernating Brown Bears. Int. J. Mol. Sci. 24, 621 (2023).</w:t>
      </w:r>
    </w:p>
    <w:p w14:paraId="3CBE4906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  <w:lang w:val="fr-FR"/>
        </w:rPr>
      </w:pPr>
      <w:r w:rsidRPr="000F08EC">
        <w:rPr>
          <w:color w:val="4472C4" w:themeColor="accent1"/>
          <w:sz w:val="18"/>
          <w:szCs w:val="18"/>
        </w:rPr>
        <w:t>29.</w:t>
      </w:r>
      <w:r w:rsidRPr="000F08EC">
        <w:rPr>
          <w:color w:val="4472C4" w:themeColor="accent1"/>
          <w:sz w:val="18"/>
          <w:szCs w:val="18"/>
        </w:rPr>
        <w:tab/>
        <w:t xml:space="preserve">Slimani, L. et al. The delayed recovery of the remobilized rat tibialis anterior muscle reflects a defect in proliferative and terminal differentiation that impairs early regenerative processes. </w:t>
      </w:r>
      <w:r w:rsidRPr="000F08EC">
        <w:rPr>
          <w:color w:val="4472C4" w:themeColor="accent1"/>
          <w:sz w:val="18"/>
          <w:szCs w:val="18"/>
          <w:lang w:val="fr-FR"/>
        </w:rPr>
        <w:t xml:space="preserve">J. </w:t>
      </w:r>
      <w:proofErr w:type="spellStart"/>
      <w:r w:rsidRPr="000F08EC">
        <w:rPr>
          <w:color w:val="4472C4" w:themeColor="accent1"/>
          <w:sz w:val="18"/>
          <w:szCs w:val="18"/>
          <w:lang w:val="fr-FR"/>
        </w:rPr>
        <w:t>Cachexia</w:t>
      </w:r>
      <w:proofErr w:type="spellEnd"/>
      <w:r w:rsidRPr="000F08EC">
        <w:rPr>
          <w:color w:val="4472C4" w:themeColor="accent1"/>
          <w:sz w:val="18"/>
          <w:szCs w:val="18"/>
          <w:lang w:val="fr-FR"/>
        </w:rPr>
        <w:t xml:space="preserve"> </w:t>
      </w:r>
      <w:proofErr w:type="spellStart"/>
      <w:r w:rsidRPr="000F08EC">
        <w:rPr>
          <w:color w:val="4472C4" w:themeColor="accent1"/>
          <w:sz w:val="18"/>
          <w:szCs w:val="18"/>
          <w:lang w:val="fr-FR"/>
        </w:rPr>
        <w:t>Sarcopenia</w:t>
      </w:r>
      <w:proofErr w:type="spellEnd"/>
      <w:r w:rsidRPr="000F08EC">
        <w:rPr>
          <w:color w:val="4472C4" w:themeColor="accent1"/>
          <w:sz w:val="18"/>
          <w:szCs w:val="18"/>
          <w:lang w:val="fr-FR"/>
        </w:rPr>
        <w:t xml:space="preserve"> Muscle https://doi.org/10.1002/jcsm.12011 (2015) </w:t>
      </w:r>
      <w:proofErr w:type="gramStart"/>
      <w:r w:rsidRPr="000F08EC">
        <w:rPr>
          <w:color w:val="4472C4" w:themeColor="accent1"/>
          <w:sz w:val="18"/>
          <w:szCs w:val="18"/>
          <w:lang w:val="fr-FR"/>
        </w:rPr>
        <w:t>doi:</w:t>
      </w:r>
      <w:proofErr w:type="gramEnd"/>
      <w:r w:rsidRPr="000F08EC">
        <w:rPr>
          <w:color w:val="4472C4" w:themeColor="accent1"/>
          <w:sz w:val="18"/>
          <w:szCs w:val="18"/>
          <w:lang w:val="fr-FR"/>
        </w:rPr>
        <w:t>10.1002/jcsm.12011.</w:t>
      </w:r>
    </w:p>
    <w:p w14:paraId="6B044158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30.</w:t>
      </w:r>
      <w:r w:rsidRPr="000F08EC">
        <w:rPr>
          <w:color w:val="4472C4" w:themeColor="accent1"/>
          <w:sz w:val="18"/>
          <w:szCs w:val="18"/>
        </w:rPr>
        <w:tab/>
        <w:t>Deval, C. et al. Mitophagy and Mitochondria Biogenesis Are Differentially Induced in Rat Skeletal Muscles during Immobilization and/or Remobilization. Int. J. Mol. Sci. 21, 3691 (2020).</w:t>
      </w:r>
    </w:p>
    <w:p w14:paraId="1D4BC8D4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31.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Vazeille</w:t>
      </w:r>
      <w:proofErr w:type="spellEnd"/>
      <w:r w:rsidRPr="000F08EC">
        <w:rPr>
          <w:color w:val="4472C4" w:themeColor="accent1"/>
          <w:sz w:val="18"/>
          <w:szCs w:val="18"/>
        </w:rPr>
        <w:t xml:space="preserve">, E. et al. Curcumin treatment prevents increased proteasome and </w:t>
      </w:r>
      <w:proofErr w:type="spellStart"/>
      <w:r w:rsidRPr="000F08EC">
        <w:rPr>
          <w:color w:val="4472C4" w:themeColor="accent1"/>
          <w:sz w:val="18"/>
          <w:szCs w:val="18"/>
        </w:rPr>
        <w:t>apoptosome</w:t>
      </w:r>
      <w:proofErr w:type="spellEnd"/>
      <w:r w:rsidRPr="000F08EC">
        <w:rPr>
          <w:color w:val="4472C4" w:themeColor="accent1"/>
          <w:sz w:val="18"/>
          <w:szCs w:val="18"/>
        </w:rPr>
        <w:t xml:space="preserve"> activities in rat skeletal muscle during reloading and improves subsequent recovery. J </w:t>
      </w:r>
      <w:proofErr w:type="spellStart"/>
      <w:r w:rsidRPr="000F08EC">
        <w:rPr>
          <w:color w:val="4472C4" w:themeColor="accent1"/>
          <w:sz w:val="18"/>
          <w:szCs w:val="18"/>
        </w:rPr>
        <w:t>Nutr</w:t>
      </w:r>
      <w:proofErr w:type="spellEnd"/>
      <w:r w:rsidRPr="000F08EC">
        <w:rPr>
          <w:color w:val="4472C4" w:themeColor="accent1"/>
          <w:sz w:val="18"/>
          <w:szCs w:val="18"/>
        </w:rPr>
        <w:t xml:space="preserve"> </w:t>
      </w:r>
      <w:proofErr w:type="spellStart"/>
      <w:r w:rsidRPr="000F08EC">
        <w:rPr>
          <w:color w:val="4472C4" w:themeColor="accent1"/>
          <w:sz w:val="18"/>
          <w:szCs w:val="18"/>
        </w:rPr>
        <w:t>Biochem</w:t>
      </w:r>
      <w:proofErr w:type="spellEnd"/>
      <w:r w:rsidRPr="000F08EC">
        <w:rPr>
          <w:color w:val="4472C4" w:themeColor="accent1"/>
          <w:sz w:val="18"/>
          <w:szCs w:val="18"/>
        </w:rPr>
        <w:t xml:space="preserve"> 23, 245–51 (2012).</w:t>
      </w:r>
    </w:p>
    <w:p w14:paraId="7F642A3A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32.</w:t>
      </w:r>
      <w:r w:rsidRPr="000F08EC">
        <w:rPr>
          <w:color w:val="4472C4" w:themeColor="accent1"/>
          <w:sz w:val="18"/>
          <w:szCs w:val="18"/>
        </w:rPr>
        <w:tab/>
        <w:t xml:space="preserve">Verney, J. et al. Soluble Milk Proteins Improve Muscle Mass Recovery after Immobilization-Induced Muscle Atrophy in Old Rats but Do not Improve Muscle Functional Property Restoration. J. </w:t>
      </w:r>
      <w:proofErr w:type="spellStart"/>
      <w:r w:rsidRPr="000F08EC">
        <w:rPr>
          <w:color w:val="4472C4" w:themeColor="accent1"/>
          <w:sz w:val="18"/>
          <w:szCs w:val="18"/>
        </w:rPr>
        <w:t>Nutr</w:t>
      </w:r>
      <w:proofErr w:type="spellEnd"/>
      <w:r w:rsidRPr="000F08EC">
        <w:rPr>
          <w:color w:val="4472C4" w:themeColor="accent1"/>
          <w:sz w:val="18"/>
          <w:szCs w:val="18"/>
        </w:rPr>
        <w:t>. Health Aging 21, 1133–1141 (2017).</w:t>
      </w:r>
    </w:p>
    <w:p w14:paraId="40B502A2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33.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Magne</w:t>
      </w:r>
      <w:proofErr w:type="spellEnd"/>
      <w:r w:rsidRPr="000F08EC">
        <w:rPr>
          <w:color w:val="4472C4" w:themeColor="accent1"/>
          <w:sz w:val="18"/>
          <w:szCs w:val="18"/>
        </w:rPr>
        <w:t xml:space="preserve">, H. et al. Contrarily to whey and high protein diets, dietary free leucine supplementation cannot reverse the lack of recovery of muscle mass after prolonged immobilization during ageing. J </w:t>
      </w:r>
      <w:proofErr w:type="spellStart"/>
      <w:r w:rsidRPr="000F08EC">
        <w:rPr>
          <w:color w:val="4472C4" w:themeColor="accent1"/>
          <w:sz w:val="18"/>
          <w:szCs w:val="18"/>
        </w:rPr>
        <w:t>Physiol</w:t>
      </w:r>
      <w:proofErr w:type="spellEnd"/>
      <w:r w:rsidRPr="000F08EC">
        <w:rPr>
          <w:color w:val="4472C4" w:themeColor="accent1"/>
          <w:sz w:val="18"/>
          <w:szCs w:val="18"/>
        </w:rPr>
        <w:t xml:space="preserve"> 590, 2035–49 (2012).</w:t>
      </w:r>
    </w:p>
    <w:p w14:paraId="7B32DB96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34.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Magne</w:t>
      </w:r>
      <w:proofErr w:type="spellEnd"/>
      <w:r w:rsidRPr="000F08EC">
        <w:rPr>
          <w:color w:val="4472C4" w:themeColor="accent1"/>
          <w:sz w:val="18"/>
          <w:szCs w:val="18"/>
        </w:rPr>
        <w:t xml:space="preserve">, H. et al. Unilateral hindlimb casting induced a delayed generalized muscle atrophy during rehabilitation that is prevented by a whey or a high protein diet but not a free leucine-enriched diet. </w:t>
      </w:r>
      <w:proofErr w:type="spellStart"/>
      <w:r w:rsidRPr="000F08EC">
        <w:rPr>
          <w:color w:val="4472C4" w:themeColor="accent1"/>
          <w:sz w:val="18"/>
          <w:szCs w:val="18"/>
        </w:rPr>
        <w:t>PLoS</w:t>
      </w:r>
      <w:proofErr w:type="spellEnd"/>
      <w:r w:rsidRPr="000F08EC">
        <w:rPr>
          <w:color w:val="4472C4" w:themeColor="accent1"/>
          <w:sz w:val="18"/>
          <w:szCs w:val="18"/>
        </w:rPr>
        <w:t xml:space="preserve"> One 8, e70130 (2013).</w:t>
      </w:r>
    </w:p>
    <w:p w14:paraId="691F086B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35.</w:t>
      </w:r>
      <w:r w:rsidRPr="000F08EC">
        <w:rPr>
          <w:color w:val="4472C4" w:themeColor="accent1"/>
          <w:sz w:val="18"/>
          <w:szCs w:val="18"/>
        </w:rPr>
        <w:tab/>
        <w:t xml:space="preserve">Martin, V. et al. Whey proteins are more efficient than casein in the recovery of muscle functional properties following a casting induced muscle atrophy. </w:t>
      </w:r>
      <w:proofErr w:type="spellStart"/>
      <w:r w:rsidRPr="000F08EC">
        <w:rPr>
          <w:color w:val="4472C4" w:themeColor="accent1"/>
          <w:sz w:val="18"/>
          <w:szCs w:val="18"/>
        </w:rPr>
        <w:t>PLoS</w:t>
      </w:r>
      <w:proofErr w:type="spellEnd"/>
      <w:r w:rsidRPr="000F08EC">
        <w:rPr>
          <w:color w:val="4472C4" w:themeColor="accent1"/>
          <w:sz w:val="18"/>
          <w:szCs w:val="18"/>
        </w:rPr>
        <w:t xml:space="preserve"> One 8, e75408 (2013).</w:t>
      </w:r>
    </w:p>
    <w:p w14:paraId="6692E5AF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36.</w:t>
      </w:r>
      <w:r w:rsidRPr="000F08EC">
        <w:rPr>
          <w:color w:val="4472C4" w:themeColor="accent1"/>
          <w:sz w:val="18"/>
          <w:szCs w:val="18"/>
        </w:rPr>
        <w:tab/>
        <w:t>Carraro, V. et al. Activation of the eIF2α-ATF4 Pathway by Chronic Paracetamol Treatment Is Prevented by Dietary Supplementation with Cysteine. Int. J. Mol. Sci. 23, 7196 (2022).</w:t>
      </w:r>
    </w:p>
    <w:p w14:paraId="2C824B3C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37.</w:t>
      </w:r>
      <w:r w:rsidRPr="000F08EC">
        <w:rPr>
          <w:color w:val="4472C4" w:themeColor="accent1"/>
          <w:sz w:val="18"/>
          <w:szCs w:val="18"/>
        </w:rPr>
        <w:tab/>
        <w:t xml:space="preserve">Savary-Auzeloux, I. et al. A dietary supplementation with leucine and antioxidants is capable to accelerate muscle mass recovery after immobilization in adult rats. </w:t>
      </w:r>
      <w:proofErr w:type="spellStart"/>
      <w:r w:rsidRPr="000F08EC">
        <w:rPr>
          <w:color w:val="4472C4" w:themeColor="accent1"/>
          <w:sz w:val="18"/>
          <w:szCs w:val="18"/>
        </w:rPr>
        <w:t>PLoS</w:t>
      </w:r>
      <w:proofErr w:type="spellEnd"/>
      <w:r w:rsidRPr="000F08EC">
        <w:rPr>
          <w:color w:val="4472C4" w:themeColor="accent1"/>
          <w:sz w:val="18"/>
          <w:szCs w:val="18"/>
        </w:rPr>
        <w:t xml:space="preserve"> One 8, e81495 (2013).</w:t>
      </w:r>
    </w:p>
    <w:p w14:paraId="1D8CFC6A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38.</w:t>
      </w:r>
      <w:r w:rsidRPr="000F08EC">
        <w:rPr>
          <w:color w:val="4472C4" w:themeColor="accent1"/>
          <w:sz w:val="18"/>
          <w:szCs w:val="18"/>
        </w:rPr>
        <w:tab/>
        <w:t>Mosoni, L. et al. Antioxidant supplementation had positive effects in old rat muscle, but through better oxidative status in other organs. Nutrition 26, 1157–62 (2010).</w:t>
      </w:r>
    </w:p>
    <w:p w14:paraId="44BC2A27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39.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Plissonneau</w:t>
      </w:r>
      <w:proofErr w:type="spellEnd"/>
      <w:r w:rsidRPr="000F08EC">
        <w:rPr>
          <w:color w:val="4472C4" w:themeColor="accent1"/>
          <w:sz w:val="18"/>
          <w:szCs w:val="18"/>
        </w:rPr>
        <w:t xml:space="preserve">, C. et al. High-Intensity interval training and α-linolenic acid supplementation improve DHA conversion and increase the abundance of gut mucosa-associated </w:t>
      </w:r>
      <w:proofErr w:type="spellStart"/>
      <w:r w:rsidRPr="000F08EC">
        <w:rPr>
          <w:color w:val="4472C4" w:themeColor="accent1"/>
          <w:sz w:val="18"/>
          <w:szCs w:val="18"/>
        </w:rPr>
        <w:t>oscillospira</w:t>
      </w:r>
      <w:proofErr w:type="spellEnd"/>
      <w:r w:rsidRPr="000F08EC">
        <w:rPr>
          <w:color w:val="4472C4" w:themeColor="accent1"/>
          <w:sz w:val="18"/>
          <w:szCs w:val="18"/>
        </w:rPr>
        <w:t xml:space="preserve"> bacteria. Nutrients 13, 1–19 (2021).</w:t>
      </w:r>
    </w:p>
    <w:p w14:paraId="01A9E420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40.</w:t>
      </w:r>
      <w:r w:rsidRPr="000F08EC">
        <w:rPr>
          <w:color w:val="4472C4" w:themeColor="accent1"/>
          <w:sz w:val="18"/>
          <w:szCs w:val="18"/>
        </w:rPr>
        <w:tab/>
        <w:t xml:space="preserve">Tardif, N. et al. Oleate-enriched diet improves insulin sensitivity and restores muscle protein synthesis in old rats. Clin </w:t>
      </w:r>
      <w:proofErr w:type="spellStart"/>
      <w:r w:rsidRPr="000F08EC">
        <w:rPr>
          <w:color w:val="4472C4" w:themeColor="accent1"/>
          <w:sz w:val="18"/>
          <w:szCs w:val="18"/>
        </w:rPr>
        <w:t>Nutr</w:t>
      </w:r>
      <w:proofErr w:type="spellEnd"/>
      <w:r w:rsidRPr="000F08EC">
        <w:rPr>
          <w:color w:val="4472C4" w:themeColor="accent1"/>
          <w:sz w:val="18"/>
          <w:szCs w:val="18"/>
        </w:rPr>
        <w:t xml:space="preserve"> 30, 799–806 (2011).</w:t>
      </w:r>
    </w:p>
    <w:p w14:paraId="6DA15DD0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41.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Chavanelle</w:t>
      </w:r>
      <w:proofErr w:type="spellEnd"/>
      <w:r w:rsidRPr="000F08EC">
        <w:rPr>
          <w:color w:val="4472C4" w:themeColor="accent1"/>
          <w:sz w:val="18"/>
          <w:szCs w:val="18"/>
        </w:rPr>
        <w:t xml:space="preserve">, V. et al. Effects of high-intensity interval training and moderate-intensity continuous training on glycaemic control and skeletal muscle mitochondrial function in </w:t>
      </w:r>
      <w:proofErr w:type="spellStart"/>
      <w:r w:rsidRPr="000F08EC">
        <w:rPr>
          <w:color w:val="4472C4" w:themeColor="accent1"/>
          <w:sz w:val="18"/>
          <w:szCs w:val="18"/>
        </w:rPr>
        <w:t>db</w:t>
      </w:r>
      <w:proofErr w:type="spellEnd"/>
      <w:r w:rsidRPr="000F08EC">
        <w:rPr>
          <w:color w:val="4472C4" w:themeColor="accent1"/>
          <w:sz w:val="18"/>
          <w:szCs w:val="18"/>
        </w:rPr>
        <w:t>/</w:t>
      </w:r>
      <w:proofErr w:type="spellStart"/>
      <w:r w:rsidRPr="000F08EC">
        <w:rPr>
          <w:color w:val="4472C4" w:themeColor="accent1"/>
          <w:sz w:val="18"/>
          <w:szCs w:val="18"/>
        </w:rPr>
        <w:t>db</w:t>
      </w:r>
      <w:proofErr w:type="spellEnd"/>
      <w:r w:rsidRPr="000F08EC">
        <w:rPr>
          <w:color w:val="4472C4" w:themeColor="accent1"/>
          <w:sz w:val="18"/>
          <w:szCs w:val="18"/>
        </w:rPr>
        <w:t xml:space="preserve"> mice. Sci. Rep. 7, 204 (2017).</w:t>
      </w:r>
    </w:p>
    <w:p w14:paraId="6298EB9F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42.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Groussard</w:t>
      </w:r>
      <w:proofErr w:type="spellEnd"/>
      <w:r w:rsidRPr="000F08EC">
        <w:rPr>
          <w:color w:val="4472C4" w:themeColor="accent1"/>
          <w:sz w:val="18"/>
          <w:szCs w:val="18"/>
        </w:rPr>
        <w:t>, C. et al. Tissue-Specific Oxidative Stress Modulation by Exercise: A Comparison between MICT and HIIT in an Obese Rat Model. 2019, 1965364 (2019).</w:t>
      </w:r>
    </w:p>
    <w:p w14:paraId="1F943045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43.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Rieu</w:t>
      </w:r>
      <w:proofErr w:type="spellEnd"/>
      <w:r w:rsidRPr="000F08EC">
        <w:rPr>
          <w:color w:val="4472C4" w:themeColor="accent1"/>
          <w:sz w:val="18"/>
          <w:szCs w:val="18"/>
        </w:rPr>
        <w:t xml:space="preserve">, I. et al. Reduction of </w:t>
      </w:r>
      <w:proofErr w:type="gramStart"/>
      <w:r w:rsidRPr="000F08EC">
        <w:rPr>
          <w:color w:val="4472C4" w:themeColor="accent1"/>
          <w:sz w:val="18"/>
          <w:szCs w:val="18"/>
        </w:rPr>
        <w:t>Low Grade</w:t>
      </w:r>
      <w:proofErr w:type="gramEnd"/>
      <w:r w:rsidRPr="000F08EC">
        <w:rPr>
          <w:color w:val="4472C4" w:themeColor="accent1"/>
          <w:sz w:val="18"/>
          <w:szCs w:val="18"/>
        </w:rPr>
        <w:t xml:space="preserve"> Inflammation Restores Blunting of Postprandial Muscle Anabolism and Limits Sarcopenia in Old Rats. J. Physiol.-</w:t>
      </w:r>
      <w:proofErr w:type="spellStart"/>
      <w:r w:rsidRPr="000F08EC">
        <w:rPr>
          <w:color w:val="4472C4" w:themeColor="accent1"/>
          <w:sz w:val="18"/>
          <w:szCs w:val="18"/>
        </w:rPr>
        <w:t>Lond</w:t>
      </w:r>
      <w:proofErr w:type="spellEnd"/>
      <w:r w:rsidRPr="000F08EC">
        <w:rPr>
          <w:color w:val="4472C4" w:themeColor="accent1"/>
          <w:sz w:val="18"/>
          <w:szCs w:val="18"/>
        </w:rPr>
        <w:t>. 587, 5483–5492 (2009).</w:t>
      </w:r>
    </w:p>
    <w:p w14:paraId="130C8410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44.</w:t>
      </w:r>
      <w:r w:rsidRPr="000F08EC">
        <w:rPr>
          <w:color w:val="4472C4" w:themeColor="accent1"/>
          <w:sz w:val="18"/>
          <w:szCs w:val="18"/>
        </w:rPr>
        <w:tab/>
        <w:t xml:space="preserve">Cussonneau, L. et al. Concurrent BMP </w:t>
      </w:r>
      <w:proofErr w:type="spellStart"/>
      <w:r w:rsidRPr="000F08EC">
        <w:rPr>
          <w:color w:val="4472C4" w:themeColor="accent1"/>
          <w:sz w:val="18"/>
          <w:szCs w:val="18"/>
        </w:rPr>
        <w:t>Signaling</w:t>
      </w:r>
      <w:proofErr w:type="spellEnd"/>
      <w:r w:rsidRPr="000F08EC">
        <w:rPr>
          <w:color w:val="4472C4" w:themeColor="accent1"/>
          <w:sz w:val="18"/>
          <w:szCs w:val="18"/>
        </w:rPr>
        <w:t xml:space="preserve"> Maintenance and TGF-β </w:t>
      </w:r>
      <w:proofErr w:type="spellStart"/>
      <w:r w:rsidRPr="000F08EC">
        <w:rPr>
          <w:color w:val="4472C4" w:themeColor="accent1"/>
          <w:sz w:val="18"/>
          <w:szCs w:val="18"/>
        </w:rPr>
        <w:t>Signaling</w:t>
      </w:r>
      <w:proofErr w:type="spellEnd"/>
      <w:r w:rsidRPr="000F08EC">
        <w:rPr>
          <w:color w:val="4472C4" w:themeColor="accent1"/>
          <w:sz w:val="18"/>
          <w:szCs w:val="18"/>
        </w:rPr>
        <w:t xml:space="preserve"> Inhibition Is a Hallmark of Natural Resistance to Muscle Atrophy in the Hibernating Bear. Cells 10, 1873 (2021).</w:t>
      </w:r>
    </w:p>
    <w:p w14:paraId="623307BE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lastRenderedPageBreak/>
        <w:t>45.</w:t>
      </w:r>
      <w:r w:rsidRPr="000F08EC">
        <w:rPr>
          <w:color w:val="4472C4" w:themeColor="accent1"/>
          <w:sz w:val="18"/>
          <w:szCs w:val="18"/>
        </w:rPr>
        <w:tab/>
        <w:t>Boyer, C. et al. Specific shifts in the endocannabinoid system in hibernating brown bears. Front. Zool. 17, 35 (2020).</w:t>
      </w:r>
    </w:p>
    <w:p w14:paraId="5ABCEB20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46.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Chazarin</w:t>
      </w:r>
      <w:proofErr w:type="spellEnd"/>
      <w:r w:rsidRPr="000F08EC">
        <w:rPr>
          <w:color w:val="4472C4" w:themeColor="accent1"/>
          <w:sz w:val="18"/>
          <w:szCs w:val="18"/>
        </w:rPr>
        <w:t>, B. et al. Metabolic reprogramming involving glycolysis in the hibernating brown bear skeletal muscle. Front. Zool. 16, (2019).</w:t>
      </w:r>
    </w:p>
    <w:p w14:paraId="1C950212" w14:textId="77777777" w:rsidR="000F08EC" w:rsidRPr="000F08EC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0F08EC">
        <w:rPr>
          <w:color w:val="4472C4" w:themeColor="accent1"/>
          <w:sz w:val="18"/>
          <w:szCs w:val="18"/>
        </w:rPr>
        <w:t>47.</w:t>
      </w:r>
      <w:r w:rsidRPr="000F08EC">
        <w:rPr>
          <w:color w:val="4472C4" w:themeColor="accent1"/>
          <w:sz w:val="18"/>
          <w:szCs w:val="18"/>
        </w:rPr>
        <w:tab/>
      </w:r>
      <w:proofErr w:type="spellStart"/>
      <w:r w:rsidRPr="000F08EC">
        <w:rPr>
          <w:color w:val="4472C4" w:themeColor="accent1"/>
          <w:sz w:val="18"/>
          <w:szCs w:val="18"/>
        </w:rPr>
        <w:t>Chazarin</w:t>
      </w:r>
      <w:proofErr w:type="spellEnd"/>
      <w:r w:rsidRPr="000F08EC">
        <w:rPr>
          <w:color w:val="4472C4" w:themeColor="accent1"/>
          <w:sz w:val="18"/>
          <w:szCs w:val="18"/>
        </w:rPr>
        <w:t xml:space="preserve">, B. et al. Limited Oxidative Stress </w:t>
      </w:r>
      <w:proofErr w:type="spellStart"/>
      <w:r w:rsidRPr="000F08EC">
        <w:rPr>
          <w:color w:val="4472C4" w:themeColor="accent1"/>
          <w:sz w:val="18"/>
          <w:szCs w:val="18"/>
        </w:rPr>
        <w:t>Favors</w:t>
      </w:r>
      <w:proofErr w:type="spellEnd"/>
      <w:r w:rsidRPr="000F08EC">
        <w:rPr>
          <w:color w:val="4472C4" w:themeColor="accent1"/>
          <w:sz w:val="18"/>
          <w:szCs w:val="18"/>
        </w:rPr>
        <w:t xml:space="preserve"> Resistance to Skeletal Muscle Atrophy in Hibernating Brown Bears (Ursus Arctos). Antioxidants 8, (2019).</w:t>
      </w:r>
    </w:p>
    <w:p w14:paraId="1B7D1F0B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  <w:lang w:val="fr-FR"/>
        </w:rPr>
      </w:pPr>
      <w:r w:rsidRPr="00AA22E2">
        <w:rPr>
          <w:color w:val="4472C4" w:themeColor="accent1"/>
          <w:sz w:val="18"/>
          <w:szCs w:val="18"/>
        </w:rPr>
        <w:t>48.</w:t>
      </w:r>
      <w:r w:rsidRPr="00AA22E2">
        <w:rPr>
          <w:color w:val="4472C4" w:themeColor="accent1"/>
          <w:sz w:val="18"/>
          <w:szCs w:val="18"/>
        </w:rPr>
        <w:tab/>
      </w:r>
      <w:proofErr w:type="spellStart"/>
      <w:r w:rsidRPr="00AA22E2">
        <w:rPr>
          <w:color w:val="4472C4" w:themeColor="accent1"/>
          <w:sz w:val="18"/>
          <w:szCs w:val="18"/>
        </w:rPr>
        <w:t>Luu</w:t>
      </w:r>
      <w:proofErr w:type="spellEnd"/>
      <w:r w:rsidRPr="00AA22E2">
        <w:rPr>
          <w:color w:val="4472C4" w:themeColor="accent1"/>
          <w:sz w:val="18"/>
          <w:szCs w:val="18"/>
        </w:rPr>
        <w:t xml:space="preserve">, B. E. et al. MicroRNAs facilitate skeletal muscle maintenance and metabolic suppression in hibernating brown bears. </w:t>
      </w:r>
      <w:r w:rsidRPr="00AA22E2">
        <w:rPr>
          <w:color w:val="4472C4" w:themeColor="accent1"/>
          <w:sz w:val="18"/>
          <w:szCs w:val="18"/>
          <w:lang w:val="fr-FR"/>
        </w:rPr>
        <w:t xml:space="preserve">J. </w:t>
      </w:r>
      <w:proofErr w:type="spellStart"/>
      <w:r w:rsidRPr="00AA22E2">
        <w:rPr>
          <w:color w:val="4472C4" w:themeColor="accent1"/>
          <w:sz w:val="18"/>
          <w:szCs w:val="18"/>
          <w:lang w:val="fr-FR"/>
        </w:rPr>
        <w:t>Cell</w:t>
      </w:r>
      <w:proofErr w:type="spellEnd"/>
      <w:r w:rsidRPr="00AA22E2">
        <w:rPr>
          <w:color w:val="4472C4" w:themeColor="accent1"/>
          <w:sz w:val="18"/>
          <w:szCs w:val="18"/>
          <w:lang w:val="fr-FR"/>
        </w:rPr>
        <w:t xml:space="preserve">. </w:t>
      </w:r>
      <w:proofErr w:type="spellStart"/>
      <w:r w:rsidRPr="00AA22E2">
        <w:rPr>
          <w:color w:val="4472C4" w:themeColor="accent1"/>
          <w:sz w:val="18"/>
          <w:szCs w:val="18"/>
          <w:lang w:val="fr-FR"/>
        </w:rPr>
        <w:t>Physiol</w:t>
      </w:r>
      <w:proofErr w:type="spellEnd"/>
      <w:r w:rsidRPr="00AA22E2">
        <w:rPr>
          <w:color w:val="4472C4" w:themeColor="accent1"/>
          <w:sz w:val="18"/>
          <w:szCs w:val="18"/>
          <w:lang w:val="fr-FR"/>
        </w:rPr>
        <w:t xml:space="preserve">. https://doi.org/10.1002/jcp.29294 (2019) </w:t>
      </w:r>
      <w:proofErr w:type="gramStart"/>
      <w:r w:rsidRPr="00AA22E2">
        <w:rPr>
          <w:color w:val="4472C4" w:themeColor="accent1"/>
          <w:sz w:val="18"/>
          <w:szCs w:val="18"/>
          <w:lang w:val="fr-FR"/>
        </w:rPr>
        <w:t>doi:</w:t>
      </w:r>
      <w:proofErr w:type="gramEnd"/>
      <w:r w:rsidRPr="00AA22E2">
        <w:rPr>
          <w:color w:val="4472C4" w:themeColor="accent1"/>
          <w:sz w:val="18"/>
          <w:szCs w:val="18"/>
          <w:lang w:val="fr-FR"/>
        </w:rPr>
        <w:t>10.1002/jcp.29294.</w:t>
      </w:r>
    </w:p>
    <w:p w14:paraId="2A1CACCF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  <w:lang w:val="fr-FR"/>
        </w:rPr>
      </w:pPr>
      <w:r w:rsidRPr="00AA22E2">
        <w:rPr>
          <w:color w:val="4472C4" w:themeColor="accent1"/>
          <w:sz w:val="18"/>
          <w:szCs w:val="18"/>
          <w:lang w:val="fr-FR"/>
        </w:rPr>
        <w:t>49.</w:t>
      </w:r>
      <w:r w:rsidRPr="00AA22E2">
        <w:rPr>
          <w:color w:val="4472C4" w:themeColor="accent1"/>
          <w:sz w:val="18"/>
          <w:szCs w:val="18"/>
          <w:lang w:val="fr-FR"/>
        </w:rPr>
        <w:tab/>
        <w:t xml:space="preserve">Bergouignan, A. et al. </w:t>
      </w:r>
      <w:r w:rsidRPr="00AA22E2">
        <w:rPr>
          <w:color w:val="4472C4" w:themeColor="accent1"/>
          <w:sz w:val="18"/>
          <w:szCs w:val="18"/>
        </w:rPr>
        <w:t xml:space="preserve">The Preservation of Muscle Mitochondrial Machinery During Hypometabolic Hibernation in Scandinavian Brown Bears </w:t>
      </w:r>
      <w:proofErr w:type="gramStart"/>
      <w:r w:rsidRPr="00AA22E2">
        <w:rPr>
          <w:color w:val="4472C4" w:themeColor="accent1"/>
          <w:sz w:val="18"/>
          <w:szCs w:val="18"/>
        </w:rPr>
        <w:t>( Ursus</w:t>
      </w:r>
      <w:proofErr w:type="gramEnd"/>
      <w:r w:rsidRPr="00AA22E2">
        <w:rPr>
          <w:color w:val="4472C4" w:themeColor="accent1"/>
          <w:sz w:val="18"/>
          <w:szCs w:val="18"/>
        </w:rPr>
        <w:t xml:space="preserve"> arctos ). </w:t>
      </w:r>
      <w:r w:rsidRPr="00AA22E2">
        <w:rPr>
          <w:color w:val="4472C4" w:themeColor="accent1"/>
          <w:sz w:val="18"/>
          <w:szCs w:val="18"/>
          <w:lang w:val="fr-FR"/>
        </w:rPr>
        <w:t xml:space="preserve">Acta </w:t>
      </w:r>
      <w:proofErr w:type="spellStart"/>
      <w:r w:rsidRPr="00AA22E2">
        <w:rPr>
          <w:color w:val="4472C4" w:themeColor="accent1"/>
          <w:sz w:val="18"/>
          <w:szCs w:val="18"/>
          <w:lang w:val="fr-FR"/>
        </w:rPr>
        <w:t>Physiol</w:t>
      </w:r>
      <w:proofErr w:type="spellEnd"/>
      <w:r w:rsidRPr="00AA22E2">
        <w:rPr>
          <w:color w:val="4472C4" w:themeColor="accent1"/>
          <w:sz w:val="18"/>
          <w:szCs w:val="18"/>
          <w:lang w:val="fr-FR"/>
        </w:rPr>
        <w:t xml:space="preserve">. </w:t>
      </w:r>
      <w:proofErr w:type="spellStart"/>
      <w:r w:rsidRPr="00AA22E2">
        <w:rPr>
          <w:color w:val="4472C4" w:themeColor="accent1"/>
          <w:sz w:val="18"/>
          <w:szCs w:val="18"/>
          <w:lang w:val="fr-FR"/>
        </w:rPr>
        <w:t>Oxf</w:t>
      </w:r>
      <w:proofErr w:type="spellEnd"/>
      <w:r w:rsidRPr="00AA22E2">
        <w:rPr>
          <w:color w:val="4472C4" w:themeColor="accent1"/>
          <w:sz w:val="18"/>
          <w:szCs w:val="18"/>
          <w:lang w:val="fr-FR"/>
        </w:rPr>
        <w:t xml:space="preserve">. </w:t>
      </w:r>
      <w:proofErr w:type="spellStart"/>
      <w:r w:rsidRPr="00AA22E2">
        <w:rPr>
          <w:color w:val="4472C4" w:themeColor="accent1"/>
          <w:sz w:val="18"/>
          <w:szCs w:val="18"/>
          <w:lang w:val="fr-FR"/>
        </w:rPr>
        <w:t>Engl</w:t>
      </w:r>
      <w:proofErr w:type="spellEnd"/>
      <w:r w:rsidRPr="00AA22E2">
        <w:rPr>
          <w:color w:val="4472C4" w:themeColor="accent1"/>
          <w:sz w:val="18"/>
          <w:szCs w:val="18"/>
          <w:lang w:val="fr-FR"/>
        </w:rPr>
        <w:t>. 242, e70177 (2026).</w:t>
      </w:r>
    </w:p>
    <w:p w14:paraId="291E4370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AA22E2">
        <w:rPr>
          <w:color w:val="4472C4" w:themeColor="accent1"/>
          <w:sz w:val="18"/>
          <w:szCs w:val="18"/>
          <w:lang w:val="fr-FR"/>
        </w:rPr>
        <w:t>50.</w:t>
      </w:r>
      <w:r w:rsidRPr="00AA22E2">
        <w:rPr>
          <w:color w:val="4472C4" w:themeColor="accent1"/>
          <w:sz w:val="18"/>
          <w:szCs w:val="18"/>
          <w:lang w:val="fr-FR"/>
        </w:rPr>
        <w:tab/>
        <w:t xml:space="preserve">De Napoli, C. et al. </w:t>
      </w:r>
      <w:r w:rsidRPr="00AA22E2">
        <w:rPr>
          <w:color w:val="4472C4" w:themeColor="accent1"/>
          <w:sz w:val="18"/>
          <w:szCs w:val="18"/>
        </w:rPr>
        <w:t xml:space="preserve">Reduced ATP turnover during hibernation in relaxed skeletal muscle. Nat. </w:t>
      </w:r>
      <w:proofErr w:type="spellStart"/>
      <w:r w:rsidRPr="00AA22E2">
        <w:rPr>
          <w:color w:val="4472C4" w:themeColor="accent1"/>
          <w:sz w:val="18"/>
          <w:szCs w:val="18"/>
        </w:rPr>
        <w:t>Commun</w:t>
      </w:r>
      <w:proofErr w:type="spellEnd"/>
      <w:r w:rsidRPr="00AA22E2">
        <w:rPr>
          <w:color w:val="4472C4" w:themeColor="accent1"/>
          <w:sz w:val="18"/>
          <w:szCs w:val="18"/>
        </w:rPr>
        <w:t>. 16, 80 (2025).</w:t>
      </w:r>
    </w:p>
    <w:p w14:paraId="090DE90C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AA22E2">
        <w:rPr>
          <w:color w:val="4472C4" w:themeColor="accent1"/>
          <w:sz w:val="18"/>
          <w:szCs w:val="18"/>
        </w:rPr>
        <w:t>51.</w:t>
      </w:r>
      <w:r w:rsidRPr="00AA22E2">
        <w:rPr>
          <w:color w:val="4472C4" w:themeColor="accent1"/>
          <w:sz w:val="18"/>
          <w:szCs w:val="18"/>
        </w:rPr>
        <w:tab/>
        <w:t xml:space="preserve">Giroud, S. et al. </w:t>
      </w:r>
      <w:proofErr w:type="spellStart"/>
      <w:r w:rsidRPr="00AA22E2">
        <w:rPr>
          <w:color w:val="4472C4" w:themeColor="accent1"/>
          <w:sz w:val="18"/>
          <w:szCs w:val="18"/>
        </w:rPr>
        <w:t>Lipidomics</w:t>
      </w:r>
      <w:proofErr w:type="spellEnd"/>
      <w:r w:rsidRPr="00AA22E2">
        <w:rPr>
          <w:color w:val="4472C4" w:themeColor="accent1"/>
          <w:sz w:val="18"/>
          <w:szCs w:val="18"/>
        </w:rPr>
        <w:t xml:space="preserve"> Reveals Seasonal Shifts in a Large-Bodied Hibernator, the Brown Bear. Front. Physiol. 10, (2019).</w:t>
      </w:r>
    </w:p>
    <w:p w14:paraId="75B21E2A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AA22E2">
        <w:rPr>
          <w:color w:val="4472C4" w:themeColor="accent1"/>
          <w:sz w:val="18"/>
          <w:szCs w:val="18"/>
        </w:rPr>
        <w:t>52.</w:t>
      </w:r>
      <w:r w:rsidRPr="00AA22E2">
        <w:rPr>
          <w:color w:val="4472C4" w:themeColor="accent1"/>
          <w:sz w:val="18"/>
          <w:szCs w:val="18"/>
        </w:rPr>
        <w:tab/>
        <w:t xml:space="preserve">Richard, C. et al. Hibernating brown bear serum modulates the balance of TGF-β and BMP pathways in human muscle cells. Int. J. </w:t>
      </w:r>
      <w:proofErr w:type="spellStart"/>
      <w:r w:rsidRPr="00AA22E2">
        <w:rPr>
          <w:color w:val="4472C4" w:themeColor="accent1"/>
          <w:sz w:val="18"/>
          <w:szCs w:val="18"/>
        </w:rPr>
        <w:t>Biochem</w:t>
      </w:r>
      <w:proofErr w:type="spellEnd"/>
      <w:r w:rsidRPr="00AA22E2">
        <w:rPr>
          <w:color w:val="4472C4" w:themeColor="accent1"/>
          <w:sz w:val="18"/>
          <w:szCs w:val="18"/>
        </w:rPr>
        <w:t>. Cell Biol. 189, 106864 (2025).</w:t>
      </w:r>
    </w:p>
    <w:p w14:paraId="4D3C22EC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AA22E2">
        <w:rPr>
          <w:color w:val="4472C4" w:themeColor="accent1"/>
          <w:sz w:val="18"/>
          <w:szCs w:val="18"/>
        </w:rPr>
        <w:t>53.</w:t>
      </w:r>
      <w:r w:rsidRPr="00AA22E2">
        <w:rPr>
          <w:color w:val="4472C4" w:themeColor="accent1"/>
          <w:sz w:val="18"/>
          <w:szCs w:val="18"/>
        </w:rPr>
        <w:tab/>
      </w:r>
      <w:proofErr w:type="spellStart"/>
      <w:r w:rsidRPr="00AA22E2">
        <w:rPr>
          <w:color w:val="4472C4" w:themeColor="accent1"/>
          <w:sz w:val="18"/>
          <w:szCs w:val="18"/>
        </w:rPr>
        <w:t>Chanon</w:t>
      </w:r>
      <w:proofErr w:type="spellEnd"/>
      <w:r w:rsidRPr="00AA22E2">
        <w:rPr>
          <w:color w:val="4472C4" w:themeColor="accent1"/>
          <w:sz w:val="18"/>
          <w:szCs w:val="18"/>
        </w:rPr>
        <w:t>, S. et al. Proteolysis inhibition by hibernating bear serum leads to increased protein content in human muscle cells. Sci Rep 8, 5525 (2018).</w:t>
      </w:r>
    </w:p>
    <w:p w14:paraId="1714A6B5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AA22E2">
        <w:rPr>
          <w:color w:val="4472C4" w:themeColor="accent1"/>
          <w:sz w:val="18"/>
          <w:szCs w:val="18"/>
        </w:rPr>
        <w:t>54.</w:t>
      </w:r>
      <w:r w:rsidRPr="00AA22E2">
        <w:rPr>
          <w:color w:val="4472C4" w:themeColor="accent1"/>
          <w:sz w:val="18"/>
          <w:szCs w:val="18"/>
        </w:rPr>
        <w:tab/>
      </w:r>
      <w:proofErr w:type="spellStart"/>
      <w:r w:rsidRPr="00AA22E2">
        <w:rPr>
          <w:color w:val="4472C4" w:themeColor="accent1"/>
          <w:sz w:val="18"/>
          <w:szCs w:val="18"/>
        </w:rPr>
        <w:t>Givre</w:t>
      </w:r>
      <w:proofErr w:type="spellEnd"/>
      <w:r w:rsidRPr="00AA22E2">
        <w:rPr>
          <w:color w:val="4472C4" w:themeColor="accent1"/>
          <w:sz w:val="18"/>
          <w:szCs w:val="18"/>
        </w:rPr>
        <w:t>, L. et al. Cardiomyocyte Protection by Hibernating Brown Bear Serum: Toward the Identification of New Protective Molecules Against Myocardial Infarction. Front. Cardiovasc. Med. 8, 687501 (2021).</w:t>
      </w:r>
    </w:p>
    <w:p w14:paraId="0E4C219C" w14:textId="77777777" w:rsidR="000F08EC" w:rsidRPr="00AA22E2" w:rsidRDefault="000F08EC" w:rsidP="000F08EC">
      <w:pPr>
        <w:spacing w:after="60"/>
        <w:ind w:left="426" w:hanging="426"/>
        <w:jc w:val="both"/>
        <w:rPr>
          <w:color w:val="4472C4" w:themeColor="accent1"/>
          <w:sz w:val="18"/>
          <w:szCs w:val="18"/>
        </w:rPr>
      </w:pPr>
      <w:r w:rsidRPr="00AA22E2">
        <w:rPr>
          <w:color w:val="4472C4" w:themeColor="accent1"/>
          <w:sz w:val="18"/>
          <w:szCs w:val="18"/>
        </w:rPr>
        <w:t>55.</w:t>
      </w:r>
      <w:r w:rsidRPr="00AA22E2">
        <w:rPr>
          <w:color w:val="4472C4" w:themeColor="accent1"/>
          <w:sz w:val="18"/>
          <w:szCs w:val="18"/>
        </w:rPr>
        <w:tab/>
        <w:t xml:space="preserve">Sutter, J. et al. Hibernating bear serum triggers an anti-fibrotic signature in human fibroblasts, involving ECM </w:t>
      </w:r>
      <w:proofErr w:type="spellStart"/>
      <w:r w:rsidRPr="00AA22E2">
        <w:rPr>
          <w:color w:val="4472C4" w:themeColor="accent1"/>
          <w:sz w:val="18"/>
          <w:szCs w:val="18"/>
        </w:rPr>
        <w:t>remodeling</w:t>
      </w:r>
      <w:proofErr w:type="spellEnd"/>
      <w:r w:rsidRPr="00AA22E2">
        <w:rPr>
          <w:color w:val="4472C4" w:themeColor="accent1"/>
          <w:sz w:val="18"/>
          <w:szCs w:val="18"/>
        </w:rPr>
        <w:t xml:space="preserve"> and MAPK </w:t>
      </w:r>
      <w:proofErr w:type="spellStart"/>
      <w:r w:rsidRPr="00AA22E2">
        <w:rPr>
          <w:color w:val="4472C4" w:themeColor="accent1"/>
          <w:sz w:val="18"/>
          <w:szCs w:val="18"/>
        </w:rPr>
        <w:t>signaling</w:t>
      </w:r>
      <w:proofErr w:type="spellEnd"/>
      <w:r w:rsidRPr="00AA22E2">
        <w:rPr>
          <w:color w:val="4472C4" w:themeColor="accent1"/>
          <w:sz w:val="18"/>
          <w:szCs w:val="18"/>
        </w:rPr>
        <w:t xml:space="preserve"> activation. Sci. Rep. 16, 14434 (2026).</w:t>
      </w:r>
    </w:p>
    <w:p w14:paraId="569EB829" w14:textId="77777777" w:rsidR="000F08EC" w:rsidRPr="000F08EC" w:rsidRDefault="000F08EC" w:rsidP="000F08EC">
      <w:pPr>
        <w:spacing w:after="60"/>
        <w:jc w:val="both"/>
        <w:rPr>
          <w:sz w:val="18"/>
          <w:szCs w:val="18"/>
        </w:rPr>
        <w:sectPr w:rsidR="000F08EC" w:rsidRPr="000F08EC" w:rsidSect="000F08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E9ED0" w14:textId="6F7AD733" w:rsidR="00F8539C" w:rsidRPr="000F08EC" w:rsidRDefault="000F08EC" w:rsidP="000F08EC">
      <w:pPr>
        <w:spacing w:after="60"/>
        <w:jc w:val="both"/>
        <w:rPr>
          <w:sz w:val="18"/>
          <w:szCs w:val="18"/>
        </w:rPr>
      </w:pPr>
      <w:r w:rsidRPr="000F08EC">
        <w:rPr>
          <w:sz w:val="18"/>
          <w:szCs w:val="18"/>
        </w:rPr>
        <w:tab/>
      </w:r>
    </w:p>
    <w:sectPr w:rsidR="00F8539C" w:rsidRPr="000F08EC" w:rsidSect="000F08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B4A9" w14:textId="77777777" w:rsidR="00072C34" w:rsidRDefault="00072C34" w:rsidP="000F08EC">
      <w:pPr>
        <w:spacing w:after="0" w:line="240" w:lineRule="auto"/>
      </w:pPr>
      <w:r>
        <w:separator/>
      </w:r>
    </w:p>
  </w:endnote>
  <w:endnote w:type="continuationSeparator" w:id="0">
    <w:p w14:paraId="122FB081" w14:textId="77777777" w:rsidR="00072C34" w:rsidRDefault="00072C34" w:rsidP="000F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5A82" w14:textId="77777777" w:rsidR="00072C34" w:rsidRDefault="00072C34" w:rsidP="000F08EC">
      <w:pPr>
        <w:spacing w:after="0" w:line="240" w:lineRule="auto"/>
      </w:pPr>
      <w:r>
        <w:separator/>
      </w:r>
    </w:p>
  </w:footnote>
  <w:footnote w:type="continuationSeparator" w:id="0">
    <w:p w14:paraId="3F641EB4" w14:textId="77777777" w:rsidR="00072C34" w:rsidRDefault="00072C34" w:rsidP="000F0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EC"/>
    <w:rsid w:val="00026366"/>
    <w:rsid w:val="00072C34"/>
    <w:rsid w:val="000F08EC"/>
    <w:rsid w:val="00265751"/>
    <w:rsid w:val="00562D42"/>
    <w:rsid w:val="00825F16"/>
    <w:rsid w:val="008A3D93"/>
    <w:rsid w:val="00927EBD"/>
    <w:rsid w:val="00AA22E2"/>
    <w:rsid w:val="00AC24BE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20F4"/>
  <w15:chartTrackingRefBased/>
  <w15:docId w15:val="{6C165351-3538-4DC2-A1DC-45F58A8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08EC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F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8EC"/>
    <w:rPr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08E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08EC"/>
    <w:rPr>
      <w:i/>
      <w:iCs/>
      <w:color w:val="4472C4" w:themeColor="accent1"/>
      <w:lang w:val="en-GB"/>
    </w:rPr>
  </w:style>
  <w:style w:type="character" w:styleId="Titredulivre">
    <w:name w:val="Book Title"/>
    <w:basedOn w:val="Policepardfaut"/>
    <w:uiPriority w:val="33"/>
    <w:qFormat/>
    <w:rsid w:val="000F08EC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F08EC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0F08E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1583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Combaret</dc:creator>
  <cp:keywords/>
  <dc:description/>
  <cp:lastModifiedBy>Anne-Catherine MAURIN</cp:lastModifiedBy>
  <cp:revision>2</cp:revision>
  <dcterms:created xsi:type="dcterms:W3CDTF">2026-06-02T07:06:00Z</dcterms:created>
  <dcterms:modified xsi:type="dcterms:W3CDTF">2026-06-02T07:06:00Z</dcterms:modified>
</cp:coreProperties>
</file>